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adjustRightInd w:val="0"/>
        <w:snapToGrid w:val="0"/>
        <w:spacing w:line="360" w:lineRule="auto"/>
        <w:ind w:firstLine="1761" w:firstLineChars="800"/>
        <w:rPr>
          <w:rFonts w:ascii="Times New Roman" w:hAnsi="Times New Roman" w:cs="Times New Roman"/>
          <w:b/>
          <w:sz w:val="22"/>
        </w:rPr>
      </w:pPr>
      <w:bookmarkStart w:id="0" w:name="_Hlk129532359"/>
      <w:r>
        <w:rPr>
          <w:rFonts w:ascii="Times New Roman" w:hAnsi="Times New Roman" w:cs="Times New Roman"/>
          <w:b/>
          <w:bCs/>
          <w:sz w:val="22"/>
        </w:rPr>
        <w:t>Supplementary</w:t>
      </w:r>
      <w:r>
        <w:rPr>
          <w:rFonts w:hint="eastAsia" w:ascii="Times New Roman" w:hAnsi="Times New Roman" w:cs="Times New Roman"/>
          <w:b/>
          <w:bCs/>
          <w:sz w:val="22"/>
          <w:lang w:val="en-US" w:eastAsia="zh-CN"/>
        </w:rPr>
        <w:t xml:space="preserve"> T</w:t>
      </w:r>
      <w:r>
        <w:rPr>
          <w:rFonts w:ascii="Times New Roman" w:hAnsi="Times New Roman" w:cs="Times New Roman"/>
          <w:b/>
          <w:bCs/>
          <w:sz w:val="22"/>
        </w:rPr>
        <w:t>able</w:t>
      </w:r>
      <w:r>
        <w:rPr>
          <w:rFonts w:ascii="Times New Roman" w:hAnsi="Times New Roman" w:cs="Times New Roman"/>
          <w:b/>
          <w:sz w:val="22"/>
        </w:rPr>
        <w:t xml:space="preserve"> 1</w:t>
      </w:r>
      <w:bookmarkEnd w:id="0"/>
      <w:r>
        <w:rPr>
          <w:rFonts w:ascii="Times New Roman" w:hAnsi="Times New Roman" w:cs="Times New Roman"/>
          <w:b/>
          <w:sz w:val="22"/>
        </w:rPr>
        <w:t xml:space="preserve"> </w:t>
      </w:r>
      <w:r>
        <w:rPr>
          <w:rFonts w:ascii="Times New Roman" w:hAnsi="Times New Roman" w:cs="Times New Roman"/>
          <w:bCs/>
          <w:sz w:val="22"/>
        </w:rPr>
        <w:t xml:space="preserve"> </w:t>
      </w:r>
      <w:bookmarkStart w:id="1" w:name="_Hlk119588306"/>
      <w:r>
        <w:rPr>
          <w:rFonts w:ascii="Times New Roman" w:hAnsi="Times New Roman" w:cs="Times New Roman"/>
          <w:bCs/>
          <w:sz w:val="22"/>
        </w:rPr>
        <w:t xml:space="preserve">The </w:t>
      </w:r>
      <w:bookmarkStart w:id="2" w:name="_Hlk113546420"/>
      <w:r>
        <w:rPr>
          <w:rFonts w:ascii="Times New Roman" w:hAnsi="Times New Roman" w:eastAsia="宋体" w:cs="Times New Roman"/>
          <w:bCs/>
          <w:sz w:val="22"/>
        </w:rPr>
        <w:t>primers of RT-PCR</w:t>
      </w:r>
    </w:p>
    <w:bookmarkEnd w:id="1"/>
    <w:bookmarkEnd w:id="2"/>
    <w:tbl>
      <w:tblPr>
        <w:tblStyle w:val="5"/>
        <w:tblW w:w="8505" w:type="dxa"/>
        <w:tblInd w:w="1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2023"/>
        <w:gridCol w:w="48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adjustRightInd w:val="0"/>
              <w:snapToGrid w:val="0"/>
              <w:spacing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Name</w:t>
            </w:r>
          </w:p>
        </w:tc>
        <w:tc>
          <w:tcPr>
            <w:tcW w:w="2023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adjustRightInd w:val="0"/>
              <w:snapToGrid w:val="0"/>
              <w:spacing w:line="310" w:lineRule="exact"/>
              <w:ind w:left="210" w:leftChars="100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Primer</w:t>
            </w:r>
          </w:p>
        </w:tc>
        <w:tc>
          <w:tcPr>
            <w:tcW w:w="4813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adjustRightInd w:val="0"/>
              <w:snapToGrid w:val="0"/>
              <w:spacing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Sequence, 5’→3’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  <w:tcBorders>
              <w:top w:val="single" w:color="auto" w:sz="12" w:space="0"/>
            </w:tcBorders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I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L-17</w:t>
            </w:r>
          </w:p>
        </w:tc>
        <w:tc>
          <w:tcPr>
            <w:tcW w:w="2023" w:type="dxa"/>
            <w:tcBorders>
              <w:top w:val="single" w:color="auto" w:sz="12" w:space="0"/>
            </w:tcBorders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  <w:tcBorders>
              <w:top w:val="single" w:color="auto" w:sz="12" w:space="0"/>
            </w:tcBorders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AACTTCCCCCGGACTGTGAT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TGGTAGTCCACGTTCCCATC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I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L-17RA</w:t>
            </w: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GAGCACATGCACCACATACCT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AGGCCCCGGAATTGGTTCT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HMGB3</w:t>
            </w: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ACATAGGCAAGGTTCAGCAG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GTGTTTCCAAGTAGGAGCAA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K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LF5</w:t>
            </w: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GACAGTGCCTCAGTCGTAGAC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TAGATCCGGTGTATTCAGTAGC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SOX9</w:t>
            </w: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C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CTCAGGCTTTGCGATTT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G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CTCGGGCACTTATTGG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MGA1</w:t>
            </w: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GCCAACACCTAAGAGACCTC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GCGGCTAAGTGGGATGTT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OXM1</w:t>
            </w: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T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GGGAGGAAATGCCACACTTAG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T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AGGACTTCTTGGGTCTTGGGGTG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Tip60</w:t>
            </w: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GAAGATGGCGGAGGTGGTGA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GCTCCTTGGGCAGGTTGAA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K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AT7</w:t>
            </w: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GAATGCAAGGTGAGAGCACA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CCGTGTGTTCCCATAGGTCT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KAT8</w:t>
            </w: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GTCACTTCCCTTCCCGCGAT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TCATCATGCTTGCGCTTTTGG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P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CAF</w:t>
            </w: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T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TGCTTCGCTGGGTCTT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C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TGGTTGAGGGAATTGCC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p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300</w:t>
            </w: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TCCAAGGGGAGAGCGTT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CAGGGCTTTGGTTCGGTAT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M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MP1</w:t>
            </w: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G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CTGAAAGTGACTGGGAAAC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G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GCAAATCTGGCGTGTAA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M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MP2</w:t>
            </w: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TGACGGTAAGGACGGACTC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TGGAAGCGGAATGGAAAC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M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MP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TGGAATGTTAAACTCCCGCGT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GGGATCTCTTTGCCCCACAT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M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MP9</w:t>
            </w: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T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CCCTGGAGACCTGAGAAC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G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ATACCCGTCTCCGTGCT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M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MP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11</w:t>
            </w: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ATGAATTTGGCCACGTGCTG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GCGGTGCAATCTCATTGGTG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M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MP13</w:t>
            </w: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G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CAGTCTTTCTTCGGCTTAG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A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GGGTCCTTGGAGTGGTC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M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MP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15</w:t>
            </w: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AGAACTGGCTGCGGCTTTAT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TTGGCTTTCACTCGTACCCC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M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MP19</w:t>
            </w: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CCTGGACAAATGGGAGTGAC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TTCGAGGCGAGTAGACAGC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GAPDH</w:t>
            </w:r>
          </w:p>
        </w:tc>
        <w:tc>
          <w:tcPr>
            <w:tcW w:w="202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4813" w:type="dxa"/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CAAGGTCATCCATGACAACTTTG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1669" w:type="dxa"/>
            <w:tcBorders>
              <w:bottom w:val="single" w:color="auto" w:sz="12" w:space="0"/>
            </w:tcBorders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023" w:type="dxa"/>
            <w:tcBorders>
              <w:bottom w:val="single" w:color="auto" w:sz="12" w:space="0"/>
            </w:tcBorders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4813" w:type="dxa"/>
            <w:tcBorders>
              <w:bottom w:val="single" w:color="auto" w:sz="12" w:space="0"/>
            </w:tcBorders>
          </w:tcPr>
          <w:p>
            <w:pPr>
              <w:adjustRightInd w:val="0"/>
              <w:snapToGrid w:val="0"/>
              <w:spacing w:before="100" w:beforeAutospacing="1" w:after="100" w:afterAutospacing="1" w:line="310" w:lineRule="exact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GTCCACCACCCTGTTGCTGTAG</w:t>
            </w:r>
          </w:p>
        </w:tc>
      </w:tr>
    </w:tbl>
    <w:p>
      <w:pPr>
        <w:adjustRightInd w:val="0"/>
        <w:snapToGrid w:val="0"/>
        <w:spacing w:line="360" w:lineRule="auto"/>
        <w:ind w:firstLine="880" w:firstLineChars="400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 xml:space="preserve">Supplementary </w:t>
      </w:r>
      <w:r>
        <w:rPr>
          <w:rFonts w:hint="eastAsia" w:ascii="Times New Roman" w:hAnsi="Times New Roman" w:cs="Times New Roman"/>
          <w:b/>
          <w:bCs/>
          <w:sz w:val="22"/>
          <w:lang w:val="en-US" w:eastAsia="zh-CN"/>
        </w:rPr>
        <w:t>T</w:t>
      </w:r>
      <w:r>
        <w:rPr>
          <w:rFonts w:ascii="Times New Roman" w:hAnsi="Times New Roman" w:cs="Times New Roman"/>
          <w:b/>
          <w:bCs/>
          <w:sz w:val="22"/>
        </w:rPr>
        <w:t>able</w:t>
      </w:r>
      <w:r>
        <w:rPr>
          <w:rFonts w:ascii="Times New Roman" w:hAnsi="Times New Roman" w:cs="Times New Roman"/>
          <w:b/>
          <w:sz w:val="22"/>
        </w:rPr>
        <w:t xml:space="preserve"> 2  </w:t>
      </w:r>
      <w:bookmarkStart w:id="3" w:name="_Hlk119588338"/>
      <w:r>
        <w:rPr>
          <w:rFonts w:ascii="Times New Roman" w:hAnsi="Times New Roman" w:cs="Times New Roman"/>
          <w:bCs/>
          <w:sz w:val="22"/>
        </w:rPr>
        <w:t xml:space="preserve">The </w:t>
      </w:r>
      <w:r>
        <w:rPr>
          <w:rFonts w:ascii="Times New Roman" w:hAnsi="Times New Roman" w:eastAsia="宋体" w:cs="Times New Roman"/>
          <w:bCs/>
          <w:sz w:val="22"/>
        </w:rPr>
        <w:t xml:space="preserve">primers of real-time PCR </w:t>
      </w:r>
      <w:r>
        <w:rPr>
          <w:rFonts w:hint="eastAsia" w:ascii="Times New Roman" w:hAnsi="Times New Roman" w:eastAsia="宋体" w:cs="Times New Roman"/>
          <w:bCs/>
          <w:sz w:val="22"/>
        </w:rPr>
        <w:t>and</w:t>
      </w:r>
      <w:r>
        <w:rPr>
          <w:rFonts w:ascii="Times New Roman" w:hAnsi="Times New Roman" w:eastAsia="宋体" w:cs="Times New Roman"/>
          <w:bCs/>
          <w:sz w:val="22"/>
        </w:rPr>
        <w:t xml:space="preserve"> </w:t>
      </w:r>
      <w:r>
        <w:rPr>
          <w:rFonts w:hint="eastAsia" w:ascii="Times New Roman" w:hAnsi="Times New Roman" w:eastAsia="宋体" w:cs="Times New Roman"/>
          <w:bCs/>
          <w:sz w:val="22"/>
        </w:rPr>
        <w:t>C</w:t>
      </w:r>
      <w:r>
        <w:rPr>
          <w:rFonts w:ascii="Times New Roman" w:hAnsi="Times New Roman" w:eastAsia="宋体" w:cs="Times New Roman"/>
          <w:bCs/>
          <w:sz w:val="22"/>
        </w:rPr>
        <w:t>hIP-PCR</w:t>
      </w:r>
      <w:bookmarkEnd w:id="3"/>
    </w:p>
    <w:tbl>
      <w:tblPr>
        <w:tblStyle w:val="6"/>
        <w:tblW w:w="8420" w:type="dxa"/>
        <w:tblInd w:w="1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1755"/>
        <w:gridCol w:w="38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841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adjustRightInd w:val="0"/>
              <w:snapToGrid w:val="0"/>
              <w:spacing w:line="360" w:lineRule="auto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Name</w:t>
            </w:r>
          </w:p>
        </w:tc>
        <w:tc>
          <w:tcPr>
            <w:tcW w:w="1755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Primer</w:t>
            </w:r>
          </w:p>
        </w:tc>
        <w:tc>
          <w:tcPr>
            <w:tcW w:w="3824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Sequence, 5’→3’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841" w:type="dxa"/>
            <w:tcBorders>
              <w:top w:val="single" w:color="auto" w:sz="12" w:space="0"/>
            </w:tcBorders>
          </w:tcPr>
          <w:p>
            <w:pPr>
              <w:adjustRightInd w:val="0"/>
              <w:snapToGrid w:val="0"/>
              <w:spacing w:line="360" w:lineRule="auto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p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300</w:t>
            </w:r>
          </w:p>
        </w:tc>
        <w:tc>
          <w:tcPr>
            <w:tcW w:w="1755" w:type="dxa"/>
            <w:tcBorders>
              <w:top w:val="single" w:color="auto" w:sz="12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3824" w:type="dxa"/>
            <w:tcBorders>
              <w:top w:val="single" w:color="auto" w:sz="12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GGGACTCAGCACCGATAACTCA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841" w:type="dxa"/>
          </w:tcPr>
          <w:p>
            <w:pPr>
              <w:adjustRightInd w:val="0"/>
              <w:snapToGrid w:val="0"/>
              <w:spacing w:line="360" w:lineRule="auto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755" w:type="dxa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3824" w:type="dxa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ACTGCACAGTTCTTATGTGTTCCAA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841" w:type="dxa"/>
          </w:tcPr>
          <w:p>
            <w:pPr>
              <w:adjustRightInd w:val="0"/>
              <w:snapToGrid w:val="0"/>
              <w:spacing w:line="360" w:lineRule="auto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</w:rPr>
              <w:t>M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MP19</w:t>
            </w:r>
          </w:p>
        </w:tc>
        <w:tc>
          <w:tcPr>
            <w:tcW w:w="1755" w:type="dxa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3824" w:type="dxa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CCTGGACAAATGGGAGTGAC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841" w:type="dxa"/>
          </w:tcPr>
          <w:p>
            <w:pPr>
              <w:adjustRightInd w:val="0"/>
              <w:snapToGrid w:val="0"/>
              <w:spacing w:line="360" w:lineRule="auto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755" w:type="dxa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3824" w:type="dxa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TTCGAGGCGAGTAGACAGC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841" w:type="dxa"/>
          </w:tcPr>
          <w:p>
            <w:pPr>
              <w:adjustRightInd w:val="0"/>
              <w:snapToGrid w:val="0"/>
              <w:spacing w:line="360" w:lineRule="auto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β-actin</w:t>
            </w:r>
          </w:p>
        </w:tc>
        <w:tc>
          <w:tcPr>
            <w:tcW w:w="1755" w:type="dxa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3824" w:type="dxa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CAGCCATGTACGTTGCTATCCAGG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841" w:type="dxa"/>
          </w:tcPr>
          <w:p>
            <w:pPr>
              <w:adjustRightInd w:val="0"/>
              <w:snapToGrid w:val="0"/>
              <w:spacing w:line="360" w:lineRule="auto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755" w:type="dxa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3824" w:type="dxa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AGGTCCAGACGCAGGATGGCATG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841" w:type="dxa"/>
          </w:tcPr>
          <w:p>
            <w:pPr>
              <w:adjustRightInd w:val="0"/>
              <w:snapToGrid w:val="0"/>
              <w:spacing w:line="360" w:lineRule="auto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1"/>
              </w:rPr>
              <w:t>M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</w:rPr>
              <w:t>MP19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1"/>
              </w:rPr>
              <w:t>（-564~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1"/>
              </w:rPr>
              <w:t>-408nt）</w:t>
            </w:r>
          </w:p>
        </w:tc>
        <w:tc>
          <w:tcPr>
            <w:tcW w:w="1755" w:type="dxa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3824" w:type="dxa"/>
          </w:tcPr>
          <w:p>
            <w:pPr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TTACTTATTTGTGCCCTTGTT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841" w:type="dxa"/>
          </w:tcPr>
          <w:p>
            <w:pPr>
              <w:adjustRightInd w:val="0"/>
              <w:snapToGrid w:val="0"/>
              <w:spacing w:line="360" w:lineRule="auto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755" w:type="dxa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3824" w:type="dxa"/>
          </w:tcPr>
          <w:p>
            <w:pPr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GAAGTCTCAGTTTCTTTGTACC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841" w:type="dxa"/>
          </w:tcPr>
          <w:p>
            <w:pPr>
              <w:adjustRightInd w:val="0"/>
              <w:snapToGrid w:val="0"/>
              <w:spacing w:line="360" w:lineRule="auto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1"/>
              </w:rPr>
              <w:t>M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</w:rPr>
              <w:t>MP19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1"/>
              </w:rPr>
              <w:t>（-544~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1"/>
              </w:rPr>
              <w:t>-389nt）</w:t>
            </w:r>
          </w:p>
        </w:tc>
        <w:tc>
          <w:tcPr>
            <w:tcW w:w="1755" w:type="dxa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F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orward</w:t>
            </w:r>
          </w:p>
        </w:tc>
        <w:tc>
          <w:tcPr>
            <w:tcW w:w="3824" w:type="dxa"/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TAAGTCCCACCTACACCCAC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841" w:type="dxa"/>
            <w:tcBorders>
              <w:bottom w:val="single" w:color="auto" w:sz="12" w:space="0"/>
            </w:tcBorders>
          </w:tcPr>
          <w:p>
            <w:pPr>
              <w:adjustRightInd w:val="0"/>
              <w:snapToGrid w:val="0"/>
              <w:spacing w:line="360" w:lineRule="auto"/>
              <w:ind w:left="210" w:leftChars="100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1755" w:type="dxa"/>
            <w:tcBorders>
              <w:bottom w:val="single" w:color="auto" w:sz="12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0"/>
              </w:rPr>
              <w:t>R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0"/>
              </w:rPr>
              <w:t>everse</w:t>
            </w:r>
          </w:p>
        </w:tc>
        <w:tc>
          <w:tcPr>
            <w:tcW w:w="3824" w:type="dxa"/>
            <w:tcBorders>
              <w:bottom w:val="single" w:color="auto" w:sz="12" w:space="0"/>
            </w:tcBorders>
          </w:tcPr>
          <w:p>
            <w:pPr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AGGTGAAGGAGTCAAGCGT</w:t>
            </w:r>
          </w:p>
        </w:tc>
      </w:tr>
    </w:tbl>
    <w:p>
      <w:pPr>
        <w:snapToGrid w:val="0"/>
        <w:spacing w:line="360" w:lineRule="auto"/>
        <w:rPr>
          <w:rFonts w:ascii="Times New Roman" w:hAnsi="Times New Roman" w:eastAsia="宋体" w:cs="Times New Roman"/>
          <w:bCs/>
          <w:color w:val="FF0000"/>
          <w:sz w:val="24"/>
          <w:szCs w:val="24"/>
        </w:rPr>
      </w:pPr>
    </w:p>
    <w:p>
      <w:pPr>
        <w:snapToGrid w:val="0"/>
        <w:spacing w:line="360" w:lineRule="auto"/>
        <w:jc w:val="center"/>
        <w:rPr>
          <w:rFonts w:ascii="Times New Roman" w:hAnsi="Times New Roman" w:cs="Times New Roman"/>
        </w:rPr>
      </w:pPr>
    </w:p>
    <w:p>
      <w:pPr>
        <w:snapToGrid w:val="0"/>
        <w:spacing w:line="360" w:lineRule="auto"/>
        <w:ind w:firstLine="1101" w:firstLineChars="500"/>
        <w:rPr>
          <w:rFonts w:ascii="Times New Roman" w:hAnsi="Times New Roman" w:eastAsia="宋体" w:cs="Times New Roman"/>
          <w:bCs/>
          <w:color w:val="FF0000"/>
          <w:sz w:val="22"/>
        </w:rPr>
      </w:pPr>
      <w:bookmarkStart w:id="4" w:name="_Hlk113198485"/>
      <w:r>
        <w:rPr>
          <w:rFonts w:ascii="Times New Roman" w:hAnsi="Times New Roman" w:cs="Times New Roman"/>
          <w:b/>
          <w:bCs/>
          <w:sz w:val="22"/>
        </w:rPr>
        <w:t xml:space="preserve">Supplementary </w:t>
      </w:r>
      <w:r>
        <w:rPr>
          <w:rFonts w:hint="eastAsia" w:ascii="Times New Roman" w:hAnsi="Times New Roman" w:cs="Times New Roman"/>
          <w:b/>
          <w:bCs/>
          <w:sz w:val="22"/>
          <w:lang w:val="en-US" w:eastAsia="zh-CN"/>
        </w:rPr>
        <w:t>T</w:t>
      </w:r>
      <w:r>
        <w:rPr>
          <w:rFonts w:ascii="Times New Roman" w:hAnsi="Times New Roman" w:cs="Times New Roman"/>
          <w:b/>
          <w:bCs/>
          <w:sz w:val="22"/>
        </w:rPr>
        <w:t>able</w:t>
      </w:r>
      <w:r>
        <w:rPr>
          <w:rFonts w:ascii="Times New Roman" w:hAnsi="Times New Roman" w:cs="Times New Roman"/>
          <w:b/>
          <w:sz w:val="22"/>
        </w:rPr>
        <w:t xml:space="preserve"> 3</w:t>
      </w:r>
      <w:r>
        <w:rPr>
          <w:rFonts w:ascii="Times New Roman" w:hAnsi="Times New Roman" w:cs="Times New Roman"/>
          <w:b/>
          <w:color w:val="000000"/>
          <w:sz w:val="22"/>
        </w:rPr>
        <w:t xml:space="preserve">  </w:t>
      </w:r>
      <w:bookmarkStart w:id="5" w:name="_Hlk119588357"/>
      <w:r>
        <w:rPr>
          <w:rFonts w:ascii="Times New Roman" w:hAnsi="Times New Roman" w:cs="Times New Roman"/>
          <w:bCs/>
          <w:color w:val="000000"/>
          <w:sz w:val="22"/>
        </w:rPr>
        <w:t xml:space="preserve">The </w:t>
      </w:r>
      <w:r>
        <w:rPr>
          <w:rFonts w:ascii="Times New Roman" w:hAnsi="Times New Roman" w:eastAsia="宋体" w:cs="Times New Roman"/>
          <w:bCs/>
          <w:color w:val="000000"/>
          <w:sz w:val="22"/>
        </w:rPr>
        <w:t>primers of promoter plasmids</w:t>
      </w:r>
    </w:p>
    <w:bookmarkEnd w:id="5"/>
    <w:tbl>
      <w:tblPr>
        <w:tblStyle w:val="3"/>
        <w:tblW w:w="8566" w:type="dxa"/>
        <w:tblInd w:w="0" w:type="dxa"/>
        <w:tblBorders>
          <w:top w:val="single" w:color="000000" w:sz="8" w:space="0"/>
          <w:left w:val="none" w:color="auto" w:sz="0" w:space="0"/>
          <w:bottom w:val="single" w:color="000000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7054"/>
        <w:gridCol w:w="236"/>
      </w:tblGrid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276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</w:tcPr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bookmarkStart w:id="6" w:name="_Hlk114662982"/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Name</w:t>
            </w:r>
          </w:p>
        </w:tc>
        <w:tc>
          <w:tcPr>
            <w:tcW w:w="7054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</w:tcPr>
          <w:p>
            <w:pPr>
              <w:snapToGrid w:val="0"/>
              <w:spacing w:line="360" w:lineRule="auto"/>
              <w:ind w:left="-1636" w:leftChars="-779" w:firstLine="2475" w:firstLineChars="11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cs="Times New Roman"/>
              </w:rPr>
              <w:t>Sequence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 xml:space="preserve"> (5’→3’)</w:t>
            </w:r>
          </w:p>
        </w:tc>
        <w:tc>
          <w:tcPr>
            <w:tcW w:w="236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</w:tcPr>
          <w:p>
            <w:pPr>
              <w:snapToGrid w:val="0"/>
              <w:spacing w:line="360" w:lineRule="auto"/>
              <w:ind w:left="-1636" w:leftChars="-779" w:firstLine="1564" w:firstLineChars="779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288" w:hRule="atLeast"/>
        </w:trPr>
        <w:tc>
          <w:tcPr>
            <w:tcW w:w="8330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 xml:space="preserve">pGL3-MMP19-FL </w:t>
            </w: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288" w:hRule="atLeast"/>
        </w:trPr>
        <w:tc>
          <w:tcPr>
            <w:tcW w:w="1276" w:type="dxa"/>
            <w:shd w:val="clear" w:color="auto" w:fill="FFFFFF"/>
            <w:noWrap/>
          </w:tcPr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Forward</w:t>
            </w:r>
          </w:p>
        </w:tc>
        <w:tc>
          <w:tcPr>
            <w:tcW w:w="7054" w:type="dxa"/>
            <w:shd w:val="clear" w:color="auto" w:fill="FFFFFF"/>
            <w:noWrap/>
          </w:tcPr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5'-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G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G</w:t>
            </w:r>
            <w:r>
              <w:rPr>
                <w:rFonts w:ascii="Times New Roman" w:hAnsi="Times New Roman" w:cs="Times New Roman"/>
                <w:color w:val="000000"/>
                <w:szCs w:val="21"/>
                <w:u w:val="single"/>
              </w:rPr>
              <w:t>GGTACC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GGTGAATGAAGCAGTCGTG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 xml:space="preserve">-3'  </w:t>
            </w: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288" w:hRule="atLeast"/>
        </w:trPr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Reverse</w:t>
            </w:r>
          </w:p>
        </w:tc>
        <w:tc>
          <w:tcPr>
            <w:tcW w:w="7054" w:type="dxa"/>
            <w:tcBorders>
              <w:left w:val="nil"/>
              <w:right w:val="nil"/>
            </w:tcBorders>
            <w:shd w:val="clear" w:color="auto" w:fill="FFFFFF"/>
            <w:noWrap/>
          </w:tcPr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5'-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GA</w:t>
            </w:r>
            <w:r>
              <w:rPr>
                <w:rFonts w:ascii="Times New Roman" w:hAnsi="Times New Roman" w:cs="Times New Roman"/>
                <w:color w:val="000000"/>
                <w:szCs w:val="21"/>
                <w:u w:val="single"/>
              </w:rPr>
              <w:t>AGATCT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GGGGCAGAGAGAGCAAG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 xml:space="preserve">-3'  </w:t>
            </w: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330" w:type="dxa"/>
            <w:gridSpan w:val="2"/>
            <w:shd w:val="clear" w:color="auto" w:fill="FFFFFF"/>
            <w:noWrap/>
          </w:tcPr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pGL3-MMP19-1</w:t>
            </w:r>
          </w:p>
        </w:tc>
        <w:tc>
          <w:tcPr>
            <w:tcW w:w="236" w:type="dxa"/>
            <w:shd w:val="clear" w:color="auto" w:fill="FFFFFF"/>
            <w:noWrap/>
          </w:tcPr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288" w:hRule="atLeast"/>
        </w:trPr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>
            <w:pPr>
              <w:snapToGrid w:val="0"/>
              <w:spacing w:line="360" w:lineRule="auto"/>
              <w:ind w:left="-1636" w:leftChars="-779" w:right="-292" w:rightChars="-13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Forward</w:t>
            </w:r>
          </w:p>
          <w:p>
            <w:pPr>
              <w:snapToGrid w:val="0"/>
              <w:spacing w:line="360" w:lineRule="auto"/>
              <w:ind w:left="-1636" w:leftChars="-779" w:right="-292" w:rightChars="-13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Reverse</w:t>
            </w:r>
          </w:p>
        </w:tc>
        <w:tc>
          <w:tcPr>
            <w:tcW w:w="7054" w:type="dxa"/>
            <w:tcBorders>
              <w:left w:val="nil"/>
              <w:right w:val="nil"/>
            </w:tcBorders>
            <w:shd w:val="clear" w:color="auto" w:fill="FFFFFF"/>
          </w:tcPr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5'-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G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G</w:t>
            </w:r>
            <w:r>
              <w:rPr>
                <w:rFonts w:ascii="Times New Roman" w:hAnsi="Times New Roman" w:cs="Times New Roman"/>
                <w:color w:val="000000"/>
                <w:szCs w:val="21"/>
                <w:u w:val="single"/>
              </w:rPr>
              <w:t>GGTACC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GAATCACCTCTGGCCTG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-3'</w:t>
            </w:r>
          </w:p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5'-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GA</w:t>
            </w:r>
            <w:r>
              <w:rPr>
                <w:rFonts w:ascii="Times New Roman" w:hAnsi="Times New Roman" w:cs="Times New Roman"/>
                <w:color w:val="000000"/>
                <w:szCs w:val="21"/>
                <w:u w:val="single"/>
              </w:rPr>
              <w:t>AGATCT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GGGGCAGAGAGAGCAAG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-3'</w:t>
            </w: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330" w:type="dxa"/>
            <w:gridSpan w:val="2"/>
            <w:shd w:val="clear" w:color="auto" w:fill="FFFFFF"/>
            <w:noWrap/>
          </w:tcPr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pGL3-MMP19-2</w:t>
            </w:r>
          </w:p>
        </w:tc>
        <w:tc>
          <w:tcPr>
            <w:tcW w:w="236" w:type="dxa"/>
            <w:shd w:val="clear" w:color="auto" w:fill="FFFFFF"/>
            <w:noWrap/>
          </w:tcPr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288" w:hRule="atLeast"/>
        </w:trPr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Forward</w:t>
            </w:r>
          </w:p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Reverse</w:t>
            </w:r>
          </w:p>
        </w:tc>
        <w:tc>
          <w:tcPr>
            <w:tcW w:w="7054" w:type="dxa"/>
            <w:tcBorders>
              <w:left w:val="nil"/>
              <w:right w:val="nil"/>
            </w:tcBorders>
            <w:shd w:val="clear" w:color="auto" w:fill="FFFFFF"/>
          </w:tcPr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5'-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G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G</w:t>
            </w:r>
            <w:r>
              <w:rPr>
                <w:rFonts w:ascii="Times New Roman" w:hAnsi="Times New Roman" w:cs="Times New Roman"/>
                <w:color w:val="000000"/>
                <w:szCs w:val="21"/>
                <w:u w:val="single"/>
              </w:rPr>
              <w:t>GGTACC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TGCTGGCCCAGGGTC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-3'</w:t>
            </w:r>
          </w:p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5'-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GA</w:t>
            </w:r>
            <w:r>
              <w:rPr>
                <w:rFonts w:ascii="Times New Roman" w:hAnsi="Times New Roman" w:cs="Times New Roman"/>
                <w:color w:val="000000"/>
                <w:szCs w:val="21"/>
                <w:u w:val="single"/>
              </w:rPr>
              <w:t>AGATCT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GGGGCAGAGAGAGCAAG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-3'</w:t>
            </w: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330" w:type="dxa"/>
            <w:gridSpan w:val="2"/>
            <w:shd w:val="clear" w:color="auto" w:fill="FFFFFF"/>
            <w:noWrap/>
          </w:tcPr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pGL3-MMP19-3</w:t>
            </w:r>
          </w:p>
        </w:tc>
        <w:tc>
          <w:tcPr>
            <w:tcW w:w="236" w:type="dxa"/>
            <w:shd w:val="clear" w:color="auto" w:fill="FFFFFF"/>
            <w:noWrap/>
          </w:tcPr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288" w:hRule="atLeast"/>
        </w:trPr>
        <w:tc>
          <w:tcPr>
            <w:tcW w:w="1276" w:type="dxa"/>
            <w:tcBorders>
              <w:left w:val="nil"/>
              <w:right w:val="nil"/>
            </w:tcBorders>
            <w:shd w:val="clear" w:color="auto" w:fill="FFFFFF"/>
            <w:noWrap/>
          </w:tcPr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Forward</w:t>
            </w:r>
          </w:p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Reverse</w:t>
            </w:r>
          </w:p>
        </w:tc>
        <w:tc>
          <w:tcPr>
            <w:tcW w:w="7054" w:type="dxa"/>
            <w:tcBorders>
              <w:left w:val="nil"/>
              <w:right w:val="nil"/>
            </w:tcBorders>
            <w:shd w:val="clear" w:color="auto" w:fill="FFFFFF"/>
          </w:tcPr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5'-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G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G</w:t>
            </w:r>
            <w:r>
              <w:rPr>
                <w:rFonts w:ascii="Times New Roman" w:hAnsi="Times New Roman" w:cs="Times New Roman"/>
                <w:color w:val="000000"/>
                <w:szCs w:val="21"/>
                <w:u w:val="single"/>
              </w:rPr>
              <w:t>GGTACC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TAATGGTGAATTGCAACATA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-3'</w:t>
            </w:r>
          </w:p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5'-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GA</w:t>
            </w:r>
            <w:r>
              <w:rPr>
                <w:rFonts w:ascii="Times New Roman" w:hAnsi="Times New Roman" w:cs="Times New Roman"/>
                <w:color w:val="000000"/>
                <w:szCs w:val="21"/>
                <w:u w:val="single"/>
              </w:rPr>
              <w:t>AGATCT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GGGGCAGAGAGAGCAAG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-3'</w:t>
            </w: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330" w:type="dxa"/>
            <w:gridSpan w:val="2"/>
            <w:shd w:val="clear" w:color="auto" w:fill="FFFFFF"/>
            <w:noWrap/>
          </w:tcPr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pGL3-MMP19-4</w:t>
            </w:r>
          </w:p>
        </w:tc>
        <w:tc>
          <w:tcPr>
            <w:tcW w:w="236" w:type="dxa"/>
            <w:shd w:val="clear" w:color="auto" w:fill="FFFFFF"/>
            <w:noWrap/>
          </w:tcPr>
          <w:p>
            <w:pPr>
              <w:snapToGrid w:val="0"/>
              <w:spacing w:line="360" w:lineRule="auto"/>
              <w:ind w:left="-1525" w:leftChars="-726" w:firstLine="420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288" w:hRule="atLeast"/>
        </w:trPr>
        <w:tc>
          <w:tcPr>
            <w:tcW w:w="1276" w:type="dxa"/>
            <w:tcBorders>
              <w:left w:val="nil"/>
              <w:bottom w:val="single" w:color="000000" w:sz="8" w:space="0"/>
              <w:right w:val="nil"/>
            </w:tcBorders>
            <w:shd w:val="clear" w:color="auto" w:fill="FFFFFF"/>
            <w:noWrap/>
          </w:tcPr>
          <w:p>
            <w:pPr>
              <w:snapToGrid w:val="0"/>
              <w:spacing w:line="360" w:lineRule="auto"/>
              <w:ind w:left="-1636" w:leftChars="-779" w:right="-292" w:rightChars="-13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Forward</w:t>
            </w:r>
          </w:p>
          <w:p>
            <w:pPr>
              <w:snapToGrid w:val="0"/>
              <w:spacing w:line="360" w:lineRule="auto"/>
              <w:ind w:left="-1636" w:leftChars="-779" w:right="-292" w:rightChars="-13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Reverse</w:t>
            </w:r>
          </w:p>
        </w:tc>
        <w:tc>
          <w:tcPr>
            <w:tcW w:w="7054" w:type="dxa"/>
            <w:tcBorders>
              <w:left w:val="nil"/>
              <w:bottom w:val="single" w:color="000000" w:sz="8" w:space="0"/>
              <w:right w:val="nil"/>
            </w:tcBorders>
            <w:shd w:val="clear" w:color="auto" w:fill="FFFFFF"/>
          </w:tcPr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5'-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G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G</w:t>
            </w:r>
            <w:r>
              <w:rPr>
                <w:rFonts w:ascii="Times New Roman" w:hAnsi="Times New Roman" w:cs="Times New Roman"/>
                <w:color w:val="000000"/>
                <w:szCs w:val="21"/>
                <w:u w:val="single"/>
              </w:rPr>
              <w:t>GGTACC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GTCAGAGGCACGGACA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-3'</w:t>
            </w:r>
          </w:p>
          <w:p>
            <w:pPr>
              <w:snapToGrid w:val="0"/>
              <w:spacing w:line="360" w:lineRule="auto"/>
              <w:ind w:left="-1636" w:leftChars="-779" w:firstLine="1558" w:firstLineChars="779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5'-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GA</w:t>
            </w:r>
            <w:r>
              <w:rPr>
                <w:rFonts w:ascii="Times New Roman" w:hAnsi="Times New Roman" w:cs="Times New Roman"/>
                <w:color w:val="000000"/>
                <w:szCs w:val="21"/>
                <w:u w:val="single"/>
              </w:rPr>
              <w:t>AGATCT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GGGGCAGAGAGAGCAAG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1"/>
              </w:rPr>
              <w:t>-3'</w:t>
            </w:r>
          </w:p>
        </w:tc>
      </w:tr>
      <w:bookmarkEnd w:id="6"/>
    </w:tbl>
    <w:p>
      <w:pPr>
        <w:snapToGrid w:val="0"/>
        <w:spacing w:line="360" w:lineRule="auto"/>
        <w:rPr>
          <w:rFonts w:ascii="Times New Roman" w:hAnsi="Times New Roman" w:eastAsia="宋体" w:cs="Times New Roman"/>
          <w:b/>
          <w:szCs w:val="21"/>
        </w:rPr>
      </w:pPr>
    </w:p>
    <w:p>
      <w:pPr>
        <w:snapToGrid w:val="0"/>
        <w:spacing w:line="360" w:lineRule="auto"/>
        <w:rPr>
          <w:rFonts w:ascii="Times New Roman" w:hAnsi="Times New Roman" w:cs="Times New Roman"/>
          <w:color w:val="4472C4"/>
          <w:szCs w:val="21"/>
        </w:rPr>
      </w:pPr>
    </w:p>
    <w:p>
      <w:pPr>
        <w:snapToGrid w:val="0"/>
        <w:spacing w:line="360" w:lineRule="auto"/>
        <w:rPr>
          <w:rFonts w:ascii="Times New Roman" w:hAnsi="Times New Roman" w:cs="Times New Roman"/>
          <w:color w:val="4472C4"/>
          <w:szCs w:val="21"/>
        </w:rPr>
      </w:pPr>
    </w:p>
    <w:p>
      <w:pPr>
        <w:snapToGrid w:val="0"/>
        <w:spacing w:line="360" w:lineRule="auto"/>
        <w:rPr>
          <w:rFonts w:ascii="Times New Roman" w:hAnsi="Times New Roman" w:cs="Times New Roman"/>
          <w:color w:val="4472C4"/>
          <w:szCs w:val="21"/>
        </w:rPr>
      </w:pPr>
    </w:p>
    <w:p>
      <w:pPr>
        <w:widowControl/>
        <w:snapToGrid w:val="0"/>
        <w:spacing w:line="360" w:lineRule="auto"/>
        <w:jc w:val="center"/>
        <w:rPr>
          <w:rFonts w:ascii="Times New Roman" w:hAnsi="Times New Roman"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 xml:space="preserve">Supplementary </w:t>
      </w:r>
      <w:r>
        <w:rPr>
          <w:rFonts w:hint="eastAsia" w:ascii="Times New Roman" w:hAnsi="Times New Roman" w:cs="Times New Roman"/>
          <w:b/>
          <w:bCs/>
          <w:sz w:val="22"/>
          <w:lang w:val="en-US" w:eastAsia="zh-CN"/>
        </w:rPr>
        <w:t>T</w:t>
      </w:r>
      <w:r>
        <w:rPr>
          <w:rFonts w:ascii="Times New Roman" w:hAnsi="Times New Roman" w:cs="Times New Roman"/>
          <w:b/>
          <w:bCs/>
          <w:sz w:val="22"/>
        </w:rPr>
        <w:t>able</w:t>
      </w:r>
      <w:r>
        <w:rPr>
          <w:rFonts w:ascii="Times New Roman" w:hAnsi="Times New Roman" w:cs="Times New Roman"/>
          <w:b/>
          <w:sz w:val="22"/>
        </w:rPr>
        <w:t xml:space="preserve"> 4</w:t>
      </w:r>
      <w:r>
        <w:rPr>
          <w:rFonts w:ascii="Times New Roman" w:hAnsi="Times New Roman"/>
          <w:b/>
          <w:sz w:val="22"/>
        </w:rPr>
        <w:t xml:space="preserve"> </w:t>
      </w:r>
      <w:r>
        <w:rPr>
          <w:rFonts w:ascii="Times New Roman" w:hAnsi="Times New Roman"/>
          <w:bCs/>
          <w:sz w:val="22"/>
        </w:rPr>
        <w:t xml:space="preserve"> </w:t>
      </w:r>
      <w:bookmarkStart w:id="7" w:name="_Hlk119588374"/>
      <w:r>
        <w:rPr>
          <w:rFonts w:hint="eastAsia" w:ascii="Times New Roman" w:hAnsi="Times New Roman"/>
          <w:bCs/>
          <w:sz w:val="22"/>
        </w:rPr>
        <w:t>The c</w:t>
      </w:r>
      <w:r>
        <w:rPr>
          <w:rFonts w:ascii="Times New Roman" w:hAnsi="Times New Roman"/>
          <w:bCs/>
          <w:sz w:val="22"/>
        </w:rPr>
        <w:t xml:space="preserve">orrelation between </w:t>
      </w:r>
      <w:r>
        <w:rPr>
          <w:rFonts w:hint="eastAsia" w:ascii="Times New Roman" w:hAnsi="Times New Roman"/>
          <w:bCs/>
          <w:sz w:val="22"/>
        </w:rPr>
        <w:t>IL-17R</w:t>
      </w:r>
      <w:r>
        <w:rPr>
          <w:rFonts w:ascii="Times New Roman" w:hAnsi="Times New Roman"/>
          <w:bCs/>
          <w:sz w:val="22"/>
        </w:rPr>
        <w:t>A expression and clinic-pathological</w:t>
      </w:r>
      <w:r>
        <w:rPr>
          <w:rFonts w:hint="eastAsia" w:ascii="Times New Roman" w:hAnsi="Times New Roman"/>
          <w:bCs/>
          <w:sz w:val="22"/>
        </w:rPr>
        <w:t xml:space="preserve"> </w:t>
      </w:r>
      <w:r>
        <w:rPr>
          <w:rFonts w:ascii="Times New Roman" w:hAnsi="Times New Roman"/>
          <w:bCs/>
          <w:sz w:val="22"/>
        </w:rPr>
        <w:t xml:space="preserve">features in </w:t>
      </w:r>
      <w:r>
        <w:rPr>
          <w:rFonts w:hint="eastAsia" w:ascii="Times New Roman" w:hAnsi="Times New Roman"/>
          <w:bCs/>
          <w:sz w:val="22"/>
        </w:rPr>
        <w:t>52</w:t>
      </w:r>
      <w:r>
        <w:rPr>
          <w:rFonts w:ascii="Times New Roman" w:hAnsi="Times New Roman"/>
          <w:bCs/>
          <w:sz w:val="22"/>
        </w:rPr>
        <w:t xml:space="preserve"> cases of NSCLC patients</w:t>
      </w:r>
    </w:p>
    <w:bookmarkEnd w:id="7"/>
    <w:tbl>
      <w:tblPr>
        <w:tblStyle w:val="3"/>
        <w:tblW w:w="833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993"/>
        <w:gridCol w:w="2016"/>
        <w:gridCol w:w="1418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vMerge w:val="restart"/>
            <w:tcBorders>
              <w:top w:val="single" w:color="000000" w:sz="8" w:space="0"/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Characteristics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3434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left="90" w:leftChars="43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IL-17RA expression</w:t>
            </w:r>
          </w:p>
        </w:tc>
        <w:tc>
          <w:tcPr>
            <w:tcW w:w="960" w:type="dxa"/>
            <w:vMerge w:val="restart"/>
            <w:tcBorders>
              <w:top w:val="single" w:color="000000" w:sz="8" w:space="0"/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right="-197" w:rightChars="-94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value</w:t>
            </w:r>
            <w:r>
              <w:rPr>
                <w:rFonts w:hint="eastAsia" w:ascii="Times New Roman" w:hAnsi="Times New Roman"/>
                <w:color w:val="000000"/>
                <w:sz w:val="18"/>
                <w:szCs w:val="18"/>
                <w:vertAlign w:val="superscript"/>
              </w:rPr>
              <w:t>#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vMerge w:val="continue"/>
            <w:tcBorders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Weak and negative</w:t>
            </w:r>
          </w:p>
        </w:tc>
        <w:tc>
          <w:tcPr>
            <w:tcW w:w="1418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Strong</w:t>
            </w:r>
          </w:p>
        </w:tc>
        <w:tc>
          <w:tcPr>
            <w:tcW w:w="960" w:type="dxa"/>
            <w:vMerge w:val="continue"/>
            <w:tcBorders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Sex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Male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9 (60%)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25 (67.57%)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0.6033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6 (40%)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12 (32.43%)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Age (years)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&lt;60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7 (46.67%)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21 (56.76%)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0.5085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18"/>
                <w:szCs w:val="18"/>
              </w:rPr>
              <w:t>≥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8 (53.33%)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16 (43.24%)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Tumor size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&lt;5 cm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10 (66.67%)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25 (67.57%)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0.9500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18"/>
                <w:szCs w:val="18"/>
              </w:rPr>
              <w:t>≥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 cm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5 (33.33%)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12 (32.43%)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Lymph node metastasis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8 (53.33%)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6 (16.22%)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0.0063*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7 (46.67%)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31 (83.78%)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TNM stage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I+II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15 (100%)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17 (53.13%)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0.0013*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0 (0%)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15 (46.88%)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18"/>
                <w:szCs w:val="18"/>
              </w:rPr>
              <w:t>P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athologic type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Adenocarcinoma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9 (60%)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17 (45.95%)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0.4845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Squamous carcinoma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4 (26.67%)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10 (27.03%)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denosquamous carcinoma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 (13.33%)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5 (13.51%)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bottom w:val="single" w:color="000000" w:sz="8" w:space="0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Large cell carcinoma</w:t>
            </w:r>
          </w:p>
        </w:tc>
        <w:tc>
          <w:tcPr>
            <w:tcW w:w="993" w:type="dxa"/>
            <w:tcBorders>
              <w:bottom w:val="single" w:color="000000" w:sz="8" w:space="0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016" w:type="dxa"/>
            <w:tcBorders>
              <w:bottom w:val="single" w:color="000000" w:sz="8" w:space="0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0 (0%)</w:t>
            </w:r>
          </w:p>
        </w:tc>
        <w:tc>
          <w:tcPr>
            <w:tcW w:w="1418" w:type="dxa"/>
            <w:tcBorders>
              <w:bottom w:val="single" w:color="000000" w:sz="8" w:space="0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5 (13.51%)</w:t>
            </w:r>
          </w:p>
        </w:tc>
        <w:tc>
          <w:tcPr>
            <w:tcW w:w="960" w:type="dxa"/>
            <w:tcBorders>
              <w:bottom w:val="single" w:color="000000" w:sz="8" w:space="0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  <w:vertAlign w:val="superscript"/>
        </w:rPr>
        <w:t>#</w:t>
      </w:r>
      <w:r>
        <w:rPr>
          <w:rFonts w:ascii="Times New Roman" w:hAnsi="Times New Roman"/>
          <w:szCs w:val="21"/>
        </w:rPr>
        <w:t xml:space="preserve">chi-square test    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*</w:t>
      </w:r>
      <w:r>
        <w:rPr>
          <w:rFonts w:ascii="Times New Roman" w:hAnsi="Times New Roman"/>
          <w:i/>
          <w:iCs/>
          <w:szCs w:val="21"/>
        </w:rPr>
        <w:t>p</w:t>
      </w:r>
      <w:r>
        <w:rPr>
          <w:rFonts w:ascii="Times New Roman" w:hAnsi="Times New Roman"/>
          <w:szCs w:val="21"/>
        </w:rPr>
        <w:t>&lt;0.05</w:t>
      </w:r>
    </w:p>
    <w:p>
      <w:pPr>
        <w:widowControl/>
        <w:snapToGrid w:val="0"/>
        <w:spacing w:line="360" w:lineRule="auto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Cs w:val="21"/>
        </w:rPr>
        <w:br w:type="page"/>
      </w:r>
      <w:r>
        <w:rPr>
          <w:rFonts w:ascii="Times New Roman" w:hAnsi="Times New Roman" w:cs="Times New Roman"/>
          <w:b/>
          <w:bCs/>
          <w:sz w:val="22"/>
        </w:rPr>
        <w:t xml:space="preserve">Supplementary </w:t>
      </w:r>
      <w:r>
        <w:rPr>
          <w:rFonts w:hint="eastAsia" w:ascii="Times New Roman" w:hAnsi="Times New Roman" w:cs="Times New Roman"/>
          <w:b/>
          <w:bCs/>
          <w:sz w:val="22"/>
          <w:lang w:val="en-US" w:eastAsia="zh-CN"/>
        </w:rPr>
        <w:t>T</w:t>
      </w:r>
      <w:r>
        <w:rPr>
          <w:rFonts w:ascii="Times New Roman" w:hAnsi="Times New Roman" w:cs="Times New Roman"/>
          <w:b/>
          <w:bCs/>
          <w:sz w:val="22"/>
        </w:rPr>
        <w:t>able</w:t>
      </w:r>
      <w:r>
        <w:rPr>
          <w:rFonts w:ascii="Times New Roman" w:hAnsi="Times New Roman" w:cs="Times New Roman"/>
          <w:b/>
          <w:sz w:val="22"/>
        </w:rPr>
        <w:t xml:space="preserve"> 5</w:t>
      </w:r>
      <w:r>
        <w:rPr>
          <w:rFonts w:ascii="Times New Roman" w:hAnsi="Times New Roman"/>
          <w:b/>
          <w:sz w:val="22"/>
        </w:rPr>
        <w:t xml:space="preserve">  </w:t>
      </w:r>
      <w:bookmarkStart w:id="8" w:name="_Hlk119588399"/>
      <w:r>
        <w:rPr>
          <w:rFonts w:hint="eastAsia" w:ascii="Times New Roman" w:hAnsi="Times New Roman"/>
          <w:bCs/>
          <w:sz w:val="22"/>
        </w:rPr>
        <w:t>The c</w:t>
      </w:r>
      <w:r>
        <w:rPr>
          <w:rFonts w:ascii="Times New Roman" w:hAnsi="Times New Roman"/>
          <w:bCs/>
          <w:sz w:val="22"/>
        </w:rPr>
        <w:t>orrelation between p</w:t>
      </w:r>
      <w:r>
        <w:rPr>
          <w:rFonts w:hint="eastAsia" w:ascii="Times New Roman" w:hAnsi="Times New Roman"/>
          <w:bCs/>
          <w:sz w:val="22"/>
        </w:rPr>
        <w:t>300</w:t>
      </w:r>
      <w:r>
        <w:rPr>
          <w:rFonts w:ascii="Times New Roman" w:hAnsi="Times New Roman"/>
          <w:bCs/>
          <w:sz w:val="22"/>
        </w:rPr>
        <w:t xml:space="preserve"> expression and clinic-pathological</w:t>
      </w:r>
      <w:r>
        <w:rPr>
          <w:rFonts w:hint="eastAsia" w:ascii="Times New Roman" w:hAnsi="Times New Roman"/>
          <w:bCs/>
          <w:sz w:val="22"/>
        </w:rPr>
        <w:t xml:space="preserve"> </w:t>
      </w:r>
      <w:r>
        <w:rPr>
          <w:rFonts w:ascii="Times New Roman" w:hAnsi="Times New Roman"/>
          <w:bCs/>
          <w:sz w:val="22"/>
        </w:rPr>
        <w:t xml:space="preserve">features in </w:t>
      </w:r>
      <w:r>
        <w:rPr>
          <w:rFonts w:hint="eastAsia" w:ascii="Times New Roman" w:hAnsi="Times New Roman"/>
          <w:bCs/>
          <w:sz w:val="22"/>
        </w:rPr>
        <w:t>52</w:t>
      </w:r>
      <w:r>
        <w:rPr>
          <w:rFonts w:ascii="Times New Roman" w:hAnsi="Times New Roman"/>
          <w:bCs/>
          <w:sz w:val="22"/>
        </w:rPr>
        <w:t xml:space="preserve"> cases of NSCLC patients</w:t>
      </w:r>
    </w:p>
    <w:bookmarkEnd w:id="8"/>
    <w:tbl>
      <w:tblPr>
        <w:tblStyle w:val="3"/>
        <w:tblW w:w="833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993"/>
        <w:gridCol w:w="2016"/>
        <w:gridCol w:w="1418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vMerge w:val="restart"/>
            <w:tcBorders>
              <w:top w:val="single" w:color="000000" w:sz="8" w:space="0"/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Characteristics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3434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left="90" w:leftChars="43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18"/>
                <w:szCs w:val="18"/>
              </w:rPr>
              <w:t>p300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expression</w:t>
            </w:r>
          </w:p>
        </w:tc>
        <w:tc>
          <w:tcPr>
            <w:tcW w:w="960" w:type="dxa"/>
            <w:vMerge w:val="restart"/>
            <w:tcBorders>
              <w:top w:val="single" w:color="000000" w:sz="8" w:space="0"/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right="-197" w:rightChars="-94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value</w:t>
            </w:r>
            <w:r>
              <w:rPr>
                <w:rFonts w:hint="eastAsia" w:ascii="Times New Roman" w:hAnsi="Times New Roman"/>
                <w:color w:val="000000"/>
                <w:sz w:val="18"/>
                <w:szCs w:val="18"/>
                <w:vertAlign w:val="superscript"/>
              </w:rPr>
              <w:t>#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vMerge w:val="continue"/>
            <w:tcBorders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Weak and negative</w:t>
            </w:r>
          </w:p>
        </w:tc>
        <w:tc>
          <w:tcPr>
            <w:tcW w:w="1418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Strong</w:t>
            </w:r>
          </w:p>
        </w:tc>
        <w:tc>
          <w:tcPr>
            <w:tcW w:w="960" w:type="dxa"/>
            <w:vMerge w:val="continue"/>
            <w:tcBorders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Sex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Male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10 (62.5%)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24 (66.67%)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0.7707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6 (37.5%)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12 (33.33%)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Age (years)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&lt;60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8 (50%)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20 (55.56%)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0.7107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18"/>
                <w:szCs w:val="18"/>
              </w:rPr>
              <w:t>≥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8 (50%)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16 (44.44%)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Tumor size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&lt;5 cm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11 (68.75%)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24 (66.67%)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0.8825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18"/>
                <w:szCs w:val="18"/>
              </w:rPr>
              <w:t>≥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 cm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5 (31.25%)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12 (33.33%)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Lymph node metastasis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10 (62.5%)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4 (11.11%)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0.0001*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6 (37.5%)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32 (88.89%)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TNM stage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I+II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14 (100%)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18 (54.55%)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0.0022*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0 (0%)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15 (45.45%)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18"/>
                <w:szCs w:val="18"/>
              </w:rPr>
              <w:t>P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athologic type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Adenocarcinoma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12 (75%)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14 (38.89%)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0.0538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Squamous carcinoma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 (6.25%)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13 (36.11%)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denosquamous carcinoma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 (6.25%)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6 (16.67%)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bottom w:val="single" w:color="000000" w:sz="8" w:space="0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Large cell carcinoma</w:t>
            </w:r>
          </w:p>
        </w:tc>
        <w:tc>
          <w:tcPr>
            <w:tcW w:w="993" w:type="dxa"/>
            <w:tcBorders>
              <w:bottom w:val="single" w:color="000000" w:sz="8" w:space="0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016" w:type="dxa"/>
            <w:tcBorders>
              <w:bottom w:val="single" w:color="000000" w:sz="8" w:space="0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 (12.5%)</w:t>
            </w:r>
          </w:p>
        </w:tc>
        <w:tc>
          <w:tcPr>
            <w:tcW w:w="1418" w:type="dxa"/>
            <w:tcBorders>
              <w:bottom w:val="single" w:color="000000" w:sz="8" w:space="0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 (8.33%)</w:t>
            </w:r>
          </w:p>
        </w:tc>
        <w:tc>
          <w:tcPr>
            <w:tcW w:w="960" w:type="dxa"/>
            <w:tcBorders>
              <w:bottom w:val="single" w:color="000000" w:sz="8" w:space="0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  <w:vertAlign w:val="superscript"/>
        </w:rPr>
        <w:t>#</w:t>
      </w:r>
      <w:r>
        <w:rPr>
          <w:rFonts w:ascii="Times New Roman" w:hAnsi="Times New Roman"/>
          <w:color w:val="000000"/>
          <w:szCs w:val="21"/>
        </w:rPr>
        <w:t>chi-square test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000000"/>
          <w:szCs w:val="21"/>
        </w:rPr>
        <w:t>*</w:t>
      </w:r>
      <w:r>
        <w:rPr>
          <w:rFonts w:ascii="Times New Roman" w:hAnsi="Times New Roman"/>
          <w:i/>
          <w:iCs/>
          <w:color w:val="000000"/>
          <w:szCs w:val="21"/>
        </w:rPr>
        <w:t>p</w:t>
      </w:r>
      <w:r>
        <w:rPr>
          <w:rFonts w:ascii="Times New Roman" w:hAnsi="Times New Roman"/>
          <w:color w:val="000000"/>
          <w:szCs w:val="21"/>
        </w:rPr>
        <w:t>&lt;0.05</w:t>
      </w:r>
    </w:p>
    <w:p>
      <w:pPr>
        <w:snapToGrid w:val="0"/>
        <w:spacing w:line="360" w:lineRule="auto"/>
        <w:rPr>
          <w:rFonts w:ascii="Times New Roman" w:hAnsi="Times New Roman"/>
          <w:b/>
          <w:szCs w:val="21"/>
        </w:rPr>
      </w:pPr>
    </w:p>
    <w:p>
      <w:pPr>
        <w:widowControl/>
        <w:snapToGrid w:val="0"/>
        <w:spacing w:line="360" w:lineRule="auto"/>
        <w:jc w:val="center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/>
          <w:szCs w:val="21"/>
        </w:rPr>
        <w:br w:type="page"/>
      </w:r>
      <w:r>
        <w:rPr>
          <w:rFonts w:ascii="Times New Roman" w:hAnsi="Times New Roman" w:cs="Times New Roman"/>
          <w:b/>
          <w:bCs/>
          <w:sz w:val="22"/>
        </w:rPr>
        <w:t xml:space="preserve">Supplementary </w:t>
      </w:r>
      <w:r>
        <w:rPr>
          <w:rFonts w:hint="eastAsia" w:ascii="Times New Roman" w:hAnsi="Times New Roman" w:cs="Times New Roman"/>
          <w:b/>
          <w:bCs/>
          <w:sz w:val="22"/>
          <w:lang w:val="en-US" w:eastAsia="zh-CN"/>
        </w:rPr>
        <w:t>T</w:t>
      </w:r>
      <w:r>
        <w:rPr>
          <w:rFonts w:ascii="Times New Roman" w:hAnsi="Times New Roman" w:cs="Times New Roman"/>
          <w:b/>
          <w:bCs/>
          <w:sz w:val="22"/>
        </w:rPr>
        <w:t>able</w:t>
      </w:r>
      <w:r>
        <w:rPr>
          <w:rFonts w:ascii="Times New Roman" w:hAnsi="Times New Roman" w:cs="Times New Roman"/>
          <w:b/>
          <w:sz w:val="22"/>
        </w:rPr>
        <w:t xml:space="preserve"> 6</w:t>
      </w:r>
      <w:r>
        <w:rPr>
          <w:rFonts w:ascii="Times New Roman" w:hAnsi="Times New Roman"/>
          <w:b/>
          <w:sz w:val="22"/>
        </w:rPr>
        <w:t xml:space="preserve"> </w:t>
      </w:r>
      <w:bookmarkStart w:id="9" w:name="_Hlk119588421"/>
      <w:r>
        <w:rPr>
          <w:rFonts w:ascii="Times New Roman" w:hAnsi="Times New Roman"/>
          <w:b/>
          <w:sz w:val="22"/>
        </w:rPr>
        <w:t xml:space="preserve"> </w:t>
      </w:r>
      <w:r>
        <w:rPr>
          <w:rFonts w:hint="eastAsia" w:ascii="Times New Roman" w:hAnsi="Times New Roman"/>
          <w:bCs/>
          <w:sz w:val="22"/>
        </w:rPr>
        <w:t>The c</w:t>
      </w:r>
      <w:r>
        <w:rPr>
          <w:rFonts w:ascii="Times New Roman" w:hAnsi="Times New Roman"/>
          <w:bCs/>
          <w:sz w:val="22"/>
        </w:rPr>
        <w:t>orrelation between p</w:t>
      </w:r>
      <w:r>
        <w:rPr>
          <w:rFonts w:hint="eastAsia" w:ascii="Times New Roman" w:hAnsi="Times New Roman"/>
          <w:bCs/>
          <w:sz w:val="22"/>
        </w:rPr>
        <w:t>-STAT3</w:t>
      </w:r>
      <w:r>
        <w:rPr>
          <w:rFonts w:ascii="Times New Roman" w:hAnsi="Times New Roman"/>
          <w:bCs/>
          <w:sz w:val="22"/>
        </w:rPr>
        <w:t xml:space="preserve"> expression and clinic-pathological</w:t>
      </w:r>
      <w:r>
        <w:rPr>
          <w:rFonts w:hint="eastAsia" w:ascii="Times New Roman" w:hAnsi="Times New Roman"/>
          <w:bCs/>
          <w:sz w:val="22"/>
        </w:rPr>
        <w:t xml:space="preserve"> </w:t>
      </w:r>
      <w:r>
        <w:rPr>
          <w:rFonts w:ascii="Times New Roman" w:hAnsi="Times New Roman"/>
          <w:bCs/>
          <w:sz w:val="22"/>
        </w:rPr>
        <w:t xml:space="preserve">features in </w:t>
      </w:r>
      <w:r>
        <w:rPr>
          <w:rFonts w:hint="eastAsia" w:ascii="Times New Roman" w:hAnsi="Times New Roman"/>
          <w:bCs/>
          <w:sz w:val="22"/>
        </w:rPr>
        <w:t>52</w:t>
      </w:r>
      <w:r>
        <w:rPr>
          <w:rFonts w:ascii="Times New Roman" w:hAnsi="Times New Roman"/>
          <w:bCs/>
          <w:sz w:val="22"/>
        </w:rPr>
        <w:t xml:space="preserve"> cases of NSCLC patients</w:t>
      </w:r>
    </w:p>
    <w:bookmarkEnd w:id="9"/>
    <w:tbl>
      <w:tblPr>
        <w:tblStyle w:val="3"/>
        <w:tblW w:w="833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993"/>
        <w:gridCol w:w="2016"/>
        <w:gridCol w:w="1418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vMerge w:val="restart"/>
            <w:tcBorders>
              <w:top w:val="single" w:color="000000" w:sz="8" w:space="0"/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Characteristics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3434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left="90" w:leftChars="43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p-STAT3 expression</w:t>
            </w:r>
          </w:p>
        </w:tc>
        <w:tc>
          <w:tcPr>
            <w:tcW w:w="960" w:type="dxa"/>
            <w:vMerge w:val="restart"/>
            <w:tcBorders>
              <w:top w:val="single" w:color="000000" w:sz="8" w:space="0"/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right="-197" w:rightChars="-94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value</w:t>
            </w:r>
            <w:r>
              <w:rPr>
                <w:rFonts w:hint="eastAsia" w:ascii="Times New Roman" w:hAnsi="Times New Roman"/>
                <w:color w:val="000000"/>
                <w:sz w:val="18"/>
                <w:szCs w:val="18"/>
                <w:vertAlign w:val="superscript"/>
              </w:rPr>
              <w:t>#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vMerge w:val="continue"/>
            <w:tcBorders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Weak and negative</w:t>
            </w:r>
          </w:p>
        </w:tc>
        <w:tc>
          <w:tcPr>
            <w:tcW w:w="1418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Strong</w:t>
            </w:r>
          </w:p>
        </w:tc>
        <w:tc>
          <w:tcPr>
            <w:tcW w:w="960" w:type="dxa"/>
            <w:vMerge w:val="continue"/>
            <w:tcBorders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Sex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Male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8 (50%)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26 (72.22%)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0.1200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8 (50%)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10 (27.78%)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Age (years)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&lt;60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9 (56.25%)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19 (52.78%)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0.8167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18"/>
                <w:szCs w:val="18"/>
              </w:rPr>
              <w:t>≥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7 (43.75%)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17 (47.22%)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Tumor size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&lt;5 cm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11 (68.75%)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24 (66.67%)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0.8825</w:t>
            </w:r>
          </w:p>
        </w:tc>
      </w:tr>
      <w:tr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18"/>
                <w:szCs w:val="18"/>
              </w:rPr>
              <w:t>≥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 cm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5 (31.25%)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12 (33.33%)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Lymph node metastasis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8 (50%)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6 (16.67%)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0.0124*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8 (50%)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30 (83.33%)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TNM stage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I+II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15 (100%)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17 (53.13%)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0.0013*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0 (0%)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15 (46.88%)</w:t>
            </w:r>
          </w:p>
        </w:tc>
      </w:tr>
      <w:tr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18"/>
                <w:szCs w:val="18"/>
              </w:rPr>
              <w:t>P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athologic type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Adenocarcinoma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11 (68.75%)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15 (41.67%)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0.2959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Squamous carcinoma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 (12.5%)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12 (33.33%)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denosquamous carcinoma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 (12.5%)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5 (13.89%)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bottom w:val="single" w:color="000000" w:sz="8" w:space="0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Large cell carcinoma</w:t>
            </w:r>
          </w:p>
        </w:tc>
        <w:tc>
          <w:tcPr>
            <w:tcW w:w="993" w:type="dxa"/>
            <w:tcBorders>
              <w:bottom w:val="single" w:color="000000" w:sz="8" w:space="0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016" w:type="dxa"/>
            <w:tcBorders>
              <w:bottom w:val="single" w:color="000000" w:sz="8" w:space="0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 (6.25%)</w:t>
            </w:r>
          </w:p>
        </w:tc>
        <w:tc>
          <w:tcPr>
            <w:tcW w:w="1418" w:type="dxa"/>
            <w:tcBorders>
              <w:bottom w:val="single" w:color="000000" w:sz="8" w:space="0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4 (11.11%)</w:t>
            </w:r>
          </w:p>
        </w:tc>
        <w:tc>
          <w:tcPr>
            <w:tcW w:w="960" w:type="dxa"/>
            <w:tcBorders>
              <w:bottom w:val="single" w:color="000000" w:sz="8" w:space="0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  <w:vertAlign w:val="superscript"/>
        </w:rPr>
        <w:t>#</w:t>
      </w:r>
      <w:r>
        <w:rPr>
          <w:rFonts w:ascii="Times New Roman" w:hAnsi="Times New Roman"/>
          <w:color w:val="000000"/>
          <w:szCs w:val="21"/>
        </w:rPr>
        <w:t>chi-square test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000000"/>
          <w:szCs w:val="21"/>
        </w:rPr>
        <w:t>*</w:t>
      </w:r>
      <w:r>
        <w:rPr>
          <w:rFonts w:ascii="Times New Roman" w:hAnsi="Times New Roman"/>
          <w:i/>
          <w:iCs/>
          <w:color w:val="000000"/>
          <w:szCs w:val="21"/>
        </w:rPr>
        <w:t>p</w:t>
      </w:r>
      <w:r>
        <w:rPr>
          <w:rFonts w:ascii="Times New Roman" w:hAnsi="Times New Roman"/>
          <w:color w:val="000000"/>
          <w:szCs w:val="21"/>
        </w:rPr>
        <w:t>&lt;0.05</w:t>
      </w:r>
    </w:p>
    <w:p>
      <w:pPr>
        <w:snapToGrid w:val="0"/>
        <w:spacing w:line="360" w:lineRule="auto"/>
        <w:rPr>
          <w:rFonts w:ascii="Times New Roman" w:hAnsi="Times New Roman"/>
          <w:b/>
          <w:szCs w:val="21"/>
        </w:rPr>
      </w:pPr>
    </w:p>
    <w:p>
      <w:pPr>
        <w:widowControl/>
        <w:snapToGrid w:val="0"/>
        <w:spacing w:line="360" w:lineRule="auto"/>
        <w:jc w:val="center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/>
          <w:szCs w:val="21"/>
        </w:rPr>
        <w:br w:type="page"/>
      </w:r>
      <w:bookmarkStart w:id="11" w:name="_GoBack"/>
      <w:bookmarkEnd w:id="11"/>
      <w:r>
        <w:rPr>
          <w:rFonts w:ascii="Times New Roman" w:hAnsi="Times New Roman" w:cs="Times New Roman"/>
          <w:b/>
          <w:bCs/>
          <w:sz w:val="22"/>
        </w:rPr>
        <w:t xml:space="preserve">Supplementary </w:t>
      </w:r>
      <w:r>
        <w:rPr>
          <w:rFonts w:hint="eastAsia" w:ascii="Times New Roman" w:hAnsi="Times New Roman" w:cs="Times New Roman"/>
          <w:b/>
          <w:bCs/>
          <w:sz w:val="22"/>
          <w:lang w:val="en-US" w:eastAsia="zh-CN"/>
        </w:rPr>
        <w:t>T</w:t>
      </w:r>
      <w:r>
        <w:rPr>
          <w:rFonts w:ascii="Times New Roman" w:hAnsi="Times New Roman" w:cs="Times New Roman"/>
          <w:b/>
          <w:bCs/>
          <w:sz w:val="22"/>
        </w:rPr>
        <w:t>able</w:t>
      </w:r>
      <w:r>
        <w:rPr>
          <w:rFonts w:ascii="Times New Roman" w:hAnsi="Times New Roman" w:cs="Times New Roman"/>
          <w:b/>
          <w:sz w:val="22"/>
        </w:rPr>
        <w:t xml:space="preserve"> 7 </w:t>
      </w:r>
      <w:r>
        <w:rPr>
          <w:rFonts w:ascii="Times New Roman" w:hAnsi="Times New Roman"/>
          <w:b/>
          <w:sz w:val="22"/>
        </w:rPr>
        <w:t xml:space="preserve"> </w:t>
      </w:r>
      <w:bookmarkStart w:id="10" w:name="_Hlk119588443"/>
      <w:r>
        <w:rPr>
          <w:rFonts w:hint="eastAsia" w:ascii="Times New Roman" w:hAnsi="Times New Roman"/>
          <w:bCs/>
          <w:sz w:val="22"/>
        </w:rPr>
        <w:t>The c</w:t>
      </w:r>
      <w:r>
        <w:rPr>
          <w:rFonts w:ascii="Times New Roman" w:hAnsi="Times New Roman"/>
          <w:bCs/>
          <w:sz w:val="22"/>
        </w:rPr>
        <w:t xml:space="preserve">orrelation between </w:t>
      </w:r>
      <w:r>
        <w:rPr>
          <w:rFonts w:hint="eastAsia" w:ascii="Times New Roman" w:hAnsi="Times New Roman"/>
          <w:bCs/>
          <w:sz w:val="22"/>
        </w:rPr>
        <w:t>MMP19</w:t>
      </w:r>
      <w:r>
        <w:rPr>
          <w:rFonts w:ascii="Times New Roman" w:hAnsi="Times New Roman"/>
          <w:bCs/>
          <w:sz w:val="22"/>
        </w:rPr>
        <w:t xml:space="preserve"> expression and clinic-pathological</w:t>
      </w:r>
      <w:r>
        <w:rPr>
          <w:rFonts w:hint="eastAsia" w:ascii="Times New Roman" w:hAnsi="Times New Roman"/>
          <w:bCs/>
          <w:sz w:val="22"/>
        </w:rPr>
        <w:t xml:space="preserve"> </w:t>
      </w:r>
      <w:r>
        <w:rPr>
          <w:rFonts w:ascii="Times New Roman" w:hAnsi="Times New Roman"/>
          <w:bCs/>
          <w:sz w:val="22"/>
        </w:rPr>
        <w:t xml:space="preserve">features in </w:t>
      </w:r>
      <w:r>
        <w:rPr>
          <w:rFonts w:hint="eastAsia" w:ascii="Times New Roman" w:hAnsi="Times New Roman"/>
          <w:bCs/>
          <w:sz w:val="22"/>
        </w:rPr>
        <w:t>52</w:t>
      </w:r>
      <w:r>
        <w:rPr>
          <w:rFonts w:ascii="Times New Roman" w:hAnsi="Times New Roman"/>
          <w:bCs/>
          <w:sz w:val="22"/>
        </w:rPr>
        <w:t xml:space="preserve"> cases of NSCLC patients</w:t>
      </w:r>
    </w:p>
    <w:bookmarkEnd w:id="10"/>
    <w:tbl>
      <w:tblPr>
        <w:tblStyle w:val="3"/>
        <w:tblW w:w="833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993"/>
        <w:gridCol w:w="2016"/>
        <w:gridCol w:w="1418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vMerge w:val="restart"/>
            <w:tcBorders>
              <w:top w:val="single" w:color="000000" w:sz="8" w:space="0"/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Characteristics</w:t>
            </w:r>
          </w:p>
        </w:tc>
        <w:tc>
          <w:tcPr>
            <w:tcW w:w="993" w:type="dxa"/>
            <w:vMerge w:val="restart"/>
            <w:tcBorders>
              <w:top w:val="single" w:color="000000" w:sz="8" w:space="0"/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3434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left="90" w:leftChars="43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MMP19 expression</w:t>
            </w:r>
          </w:p>
        </w:tc>
        <w:tc>
          <w:tcPr>
            <w:tcW w:w="960" w:type="dxa"/>
            <w:vMerge w:val="restart"/>
            <w:tcBorders>
              <w:top w:val="single" w:color="000000" w:sz="8" w:space="0"/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right="-197" w:rightChars="-94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 value</w:t>
            </w:r>
            <w:r>
              <w:rPr>
                <w:rFonts w:hint="eastAsia" w:ascii="Times New Roman" w:hAnsi="Times New Roman"/>
                <w:color w:val="000000"/>
                <w:sz w:val="18"/>
                <w:szCs w:val="18"/>
                <w:vertAlign w:val="superscript"/>
              </w:rPr>
              <w:t>#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vMerge w:val="continue"/>
            <w:tcBorders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Weak and negative</w:t>
            </w:r>
          </w:p>
        </w:tc>
        <w:tc>
          <w:tcPr>
            <w:tcW w:w="1418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Strong</w:t>
            </w:r>
          </w:p>
        </w:tc>
        <w:tc>
          <w:tcPr>
            <w:tcW w:w="960" w:type="dxa"/>
            <w:vMerge w:val="continue"/>
            <w:tcBorders>
              <w:left w:val="nil"/>
              <w:bottom w:val="single" w:color="000000" w:sz="8" w:space="0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Sex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Male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13 (68.42%)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21 (63.64%)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0.7269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6 (31.58%)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12 (36.36%)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Age (years)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&lt;60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9 (47.37%)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19 (57.58%)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0.4771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18"/>
                <w:szCs w:val="18"/>
              </w:rPr>
              <w:t>≥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10 (52.63%)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14 (42.42%)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Tumor size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&lt;5 cm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14 (73.68%)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21 (63.64%)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0.4570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18"/>
                <w:szCs w:val="18"/>
              </w:rPr>
              <w:t>≥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 cm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5 (26.32%)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12 (36.36%)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Lymph node metastasis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10 (52.63%)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4 (12.12%)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0.0015*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9 (47.37%)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29 (87.88%)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TNM stage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I+II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16 (94.12%)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16 (53.33%)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0.0040*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 (5.88%)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14 (46.67%)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18"/>
                <w:szCs w:val="18"/>
              </w:rPr>
              <w:t>P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athologic type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Adenocarcinoma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13 (68.42%)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13 (39.39%)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0.1551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Squamous carcinoma</w:t>
            </w:r>
          </w:p>
        </w:tc>
        <w:tc>
          <w:tcPr>
            <w:tcW w:w="993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016" w:type="dxa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 (10.53%)</w:t>
            </w:r>
          </w:p>
        </w:tc>
        <w:tc>
          <w:tcPr>
            <w:tcW w:w="2378" w:type="dxa"/>
            <w:gridSpan w:val="2"/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12 (36.36%)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color w:val="000000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denosquamous carcinoma</w:t>
            </w: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 (10.53%)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5 (15.15%)</w:t>
            </w:r>
          </w:p>
        </w:tc>
        <w:tc>
          <w:tcPr>
            <w:tcW w:w="960" w:type="dxa"/>
            <w:tcBorders>
              <w:left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943" w:type="dxa"/>
            <w:tcBorders>
              <w:bottom w:val="single" w:color="000000" w:sz="8" w:space="0"/>
            </w:tcBorders>
            <w:noWrap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Large cell carcinoma</w:t>
            </w:r>
          </w:p>
        </w:tc>
        <w:tc>
          <w:tcPr>
            <w:tcW w:w="993" w:type="dxa"/>
            <w:tcBorders>
              <w:bottom w:val="single" w:color="000000" w:sz="8" w:space="0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016" w:type="dxa"/>
            <w:tcBorders>
              <w:bottom w:val="single" w:color="000000" w:sz="8" w:space="0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 (10.53%)</w:t>
            </w:r>
          </w:p>
        </w:tc>
        <w:tc>
          <w:tcPr>
            <w:tcW w:w="1418" w:type="dxa"/>
            <w:tcBorders>
              <w:bottom w:val="single" w:color="000000" w:sz="8" w:space="0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 (9.09%)</w:t>
            </w:r>
          </w:p>
        </w:tc>
        <w:tc>
          <w:tcPr>
            <w:tcW w:w="960" w:type="dxa"/>
            <w:tcBorders>
              <w:bottom w:val="single" w:color="000000" w:sz="8" w:space="0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>
      <w:pPr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  <w:vertAlign w:val="superscript"/>
        </w:rPr>
        <w:t>#</w:t>
      </w:r>
      <w:r>
        <w:rPr>
          <w:rFonts w:ascii="Times New Roman" w:hAnsi="Times New Roman"/>
          <w:color w:val="000000"/>
          <w:szCs w:val="21"/>
        </w:rPr>
        <w:t>chi-square test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000000"/>
          <w:szCs w:val="21"/>
        </w:rPr>
        <w:t>*</w:t>
      </w:r>
      <w:r>
        <w:rPr>
          <w:rFonts w:ascii="Times New Roman" w:hAnsi="Times New Roman"/>
          <w:i/>
          <w:iCs/>
          <w:color w:val="000000"/>
          <w:szCs w:val="21"/>
        </w:rPr>
        <w:t>p</w:t>
      </w:r>
      <w:r>
        <w:rPr>
          <w:rFonts w:ascii="Times New Roman" w:hAnsi="Times New Roman"/>
          <w:color w:val="000000"/>
          <w:szCs w:val="21"/>
        </w:rPr>
        <w:t>&lt;0.05</w:t>
      </w:r>
    </w:p>
    <w:p>
      <w:pPr>
        <w:snapToGrid w:val="0"/>
        <w:spacing w:line="360" w:lineRule="auto"/>
        <w:rPr>
          <w:rFonts w:ascii="Arial" w:hAnsi="Arial" w:cs="Arial"/>
        </w:rPr>
      </w:pPr>
    </w:p>
    <w:p>
      <w:pPr>
        <w:snapToGrid w:val="0"/>
        <w:spacing w:line="360" w:lineRule="auto"/>
      </w:pPr>
    </w:p>
    <w:p>
      <w:pPr>
        <w:snapToGrid w:val="0"/>
        <w:spacing w:line="360" w:lineRule="auto"/>
        <w:rPr>
          <w:rFonts w:ascii="Times New Roman" w:hAnsi="Times New Roman"/>
        </w:rPr>
      </w:pPr>
    </w:p>
    <w:p>
      <w:pPr>
        <w:snapToGrid w:val="0"/>
        <w:spacing w:line="360" w:lineRule="auto"/>
        <w:rPr>
          <w:rFonts w:ascii="Times New Roman" w:hAnsi="Times New Roman" w:eastAsia="宋体" w:cs="Times New Roman"/>
          <w:b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宋体" w:cs="Times New Roman"/>
          <w:b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宋体" w:cs="Times New Roman"/>
          <w:b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宋体" w:cs="Times New Roman"/>
          <w:b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="宋体" w:cs="Times New Roman"/>
          <w:b/>
          <w:szCs w:val="21"/>
        </w:rPr>
      </w:pPr>
    </w:p>
    <w:bookmarkEnd w:id="4"/>
    <w:p>
      <w:pPr>
        <w:rPr>
          <w:rFonts w:ascii="Times New Roman" w:hAnsi="Times New Roman" w:eastAsia="宋体" w:cs="Times New Roman"/>
          <w:sz w:val="2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9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</w:docVars>
  <w:rsids>
    <w:rsidRoot w:val="79F76022"/>
    <w:rsid w:val="01B82438"/>
    <w:rsid w:val="0B837613"/>
    <w:rsid w:val="106317C1"/>
    <w:rsid w:val="1DBA37E1"/>
    <w:rsid w:val="24107A5A"/>
    <w:rsid w:val="2BCF3D57"/>
    <w:rsid w:val="31307046"/>
    <w:rsid w:val="36637EBD"/>
    <w:rsid w:val="36F744C4"/>
    <w:rsid w:val="38B13162"/>
    <w:rsid w:val="3D7309E6"/>
    <w:rsid w:val="40DE261A"/>
    <w:rsid w:val="47136D96"/>
    <w:rsid w:val="48C7608A"/>
    <w:rsid w:val="58201313"/>
    <w:rsid w:val="59D458BD"/>
    <w:rsid w:val="5C797243"/>
    <w:rsid w:val="5D3C099D"/>
    <w:rsid w:val="73A37527"/>
    <w:rsid w:val="79F7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table" w:customStyle="1" w:styleId="5">
    <w:name w:val="网格型2"/>
    <w:basedOn w:val="3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网格型6"/>
    <w:basedOn w:val="3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771</Words>
  <Characters>4993</Characters>
  <Lines>0</Lines>
  <Paragraphs>0</Paragraphs>
  <TotalTime>0</TotalTime>
  <ScaleCrop>false</ScaleCrop>
  <LinksUpToDate>false</LinksUpToDate>
  <CharactersWithSpaces>5280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2023-08-04T09:46:00Z</dcterms:created>
  <dc:creator>Daisy</dc:creator>
  <cp:lastModifiedBy>Daisy</cp:lastModifiedBy>
  <dcterms:modified xsi:type="dcterms:W3CDTF">2023-08-08T02:16:58Z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A3C81DF8EC604585A4A38D6112535907_11</vt:lpwstr>
  </property>
</Properties>
</file>